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DB20" w14:textId="5C4DD648" w:rsidR="004C6A7C" w:rsidRPr="00EF492A" w:rsidRDefault="004C6A7C" w:rsidP="004C6A7C">
      <w:pPr>
        <w:spacing w:after="120"/>
        <w:jc w:val="both"/>
        <w:rPr>
          <w:rFonts w:ascii="Tahoma" w:hAnsi="Tahoma" w:cs="Tahoma"/>
          <w:sz w:val="24"/>
          <w:szCs w:val="24"/>
        </w:rPr>
      </w:pPr>
      <w:r w:rsidRPr="00EF492A">
        <w:rPr>
          <w:rFonts w:ascii="Tahoma" w:hAnsi="Tahoma" w:cs="Tahoma"/>
          <w:sz w:val="24"/>
          <w:szCs w:val="24"/>
        </w:rPr>
        <w:t>Good afternoon</w:t>
      </w:r>
      <w:r w:rsidR="00837EDF">
        <w:rPr>
          <w:rFonts w:ascii="Tahoma" w:hAnsi="Tahoma" w:cs="Tahoma"/>
          <w:sz w:val="24"/>
          <w:szCs w:val="24"/>
        </w:rPr>
        <w:t>,</w:t>
      </w:r>
      <w:r w:rsidRPr="00EF492A">
        <w:rPr>
          <w:rFonts w:ascii="Tahoma" w:hAnsi="Tahoma" w:cs="Tahoma"/>
          <w:sz w:val="24"/>
          <w:szCs w:val="24"/>
        </w:rPr>
        <w:t xml:space="preserve"> Senator </w:t>
      </w:r>
      <w:r w:rsidR="004E6831">
        <w:rPr>
          <w:rFonts w:ascii="Tahoma" w:hAnsi="Tahoma" w:cs="Tahoma"/>
          <w:sz w:val="24"/>
          <w:szCs w:val="24"/>
        </w:rPr>
        <w:t>Lesser</w:t>
      </w:r>
      <w:r w:rsidRPr="00EF492A">
        <w:rPr>
          <w:rFonts w:ascii="Tahoma" w:hAnsi="Tahoma" w:cs="Tahoma"/>
          <w:sz w:val="24"/>
          <w:szCs w:val="24"/>
        </w:rPr>
        <w:t xml:space="preserve"> and Representative </w:t>
      </w:r>
      <w:r w:rsidR="004E6831">
        <w:rPr>
          <w:rFonts w:ascii="Tahoma" w:hAnsi="Tahoma" w:cs="Tahoma"/>
          <w:sz w:val="24"/>
          <w:szCs w:val="24"/>
        </w:rPr>
        <w:t>Gilchrist</w:t>
      </w:r>
      <w:r w:rsidRPr="00EF492A">
        <w:rPr>
          <w:rFonts w:ascii="Tahoma" w:hAnsi="Tahoma" w:cs="Tahoma"/>
          <w:sz w:val="24"/>
          <w:szCs w:val="24"/>
        </w:rPr>
        <w:t xml:space="preserve">, and Ranking Members Senator Seminara, and Representative </w:t>
      </w:r>
      <w:r w:rsidR="00CC131B">
        <w:rPr>
          <w:rFonts w:ascii="Tahoma" w:hAnsi="Tahoma" w:cs="Tahoma"/>
          <w:sz w:val="24"/>
          <w:szCs w:val="24"/>
        </w:rPr>
        <w:t>Case</w:t>
      </w:r>
      <w:r w:rsidRPr="00EF492A">
        <w:rPr>
          <w:rFonts w:ascii="Tahoma" w:hAnsi="Tahoma" w:cs="Tahoma"/>
          <w:sz w:val="24"/>
          <w:szCs w:val="24"/>
        </w:rPr>
        <w:t xml:space="preserve">. Thank you for your time </w:t>
      </w:r>
      <w:r>
        <w:rPr>
          <w:rFonts w:ascii="Tahoma" w:hAnsi="Tahoma" w:cs="Tahoma"/>
          <w:sz w:val="24"/>
          <w:szCs w:val="24"/>
        </w:rPr>
        <w:t xml:space="preserve">and your commitment to supporting </w:t>
      </w:r>
      <w:r w:rsidR="00CC131B">
        <w:rPr>
          <w:rFonts w:ascii="Tahoma" w:hAnsi="Tahoma" w:cs="Tahoma"/>
          <w:sz w:val="24"/>
          <w:szCs w:val="24"/>
        </w:rPr>
        <w:t xml:space="preserve">the </w:t>
      </w:r>
      <w:r>
        <w:rPr>
          <w:rFonts w:ascii="Tahoma" w:hAnsi="Tahoma" w:cs="Tahoma"/>
          <w:sz w:val="24"/>
          <w:szCs w:val="24"/>
        </w:rPr>
        <w:t>residents of our State</w:t>
      </w:r>
      <w:r w:rsidRPr="00EF492A">
        <w:rPr>
          <w:rFonts w:ascii="Tahoma" w:hAnsi="Tahoma" w:cs="Tahoma"/>
          <w:sz w:val="24"/>
          <w:szCs w:val="24"/>
        </w:rPr>
        <w:t xml:space="preserve">. </w:t>
      </w:r>
    </w:p>
    <w:p w14:paraId="0F794D9F" w14:textId="1E550ABC" w:rsidR="00151F3E" w:rsidRPr="0042756D" w:rsidRDefault="00151F3E" w:rsidP="55B8D798">
      <w:pPr>
        <w:rPr>
          <w:rFonts w:ascii="Tahoma" w:hAnsi="Tahoma" w:cs="Tahoma"/>
          <w:b/>
          <w:bCs/>
          <w:sz w:val="24"/>
          <w:szCs w:val="24"/>
        </w:rPr>
      </w:pPr>
    </w:p>
    <w:p w14:paraId="647D19CE" w14:textId="42DD3960" w:rsidR="64C74FFB" w:rsidRDefault="64C74FFB" w:rsidP="4DE5D8AA">
      <w:pPr>
        <w:shd w:val="clear" w:color="auto" w:fill="FFFFFF" w:themeFill="background1"/>
        <w:rPr>
          <w:rFonts w:ascii="Tahoma" w:eastAsia="Tahoma" w:hAnsi="Tahoma" w:cs="Tahoma"/>
          <w:b/>
          <w:bCs/>
          <w:color w:val="000000" w:themeColor="text1"/>
          <w:sz w:val="24"/>
          <w:szCs w:val="24"/>
        </w:rPr>
      </w:pPr>
      <w:r w:rsidRPr="4DE5D8AA">
        <w:rPr>
          <w:rFonts w:ascii="Tahoma" w:eastAsia="Tahoma" w:hAnsi="Tahoma" w:cs="Tahoma"/>
          <w:b/>
          <w:bCs/>
          <w:color w:val="000000" w:themeColor="text1"/>
          <w:sz w:val="24"/>
          <w:szCs w:val="24"/>
        </w:rPr>
        <w:t>S.B. No. 310 (RAISED) AN ACT CONCERNING COMPENSATION FOR FAMILY CAREGIVERS, RETROACTIVE ELIGIBILITY FOR MEDICAID AND TREATMENT OF ASSETS DISCOVERED AFTER AN APPLICATION FOR MEDICAL ASSISTANCE</w:t>
      </w:r>
    </w:p>
    <w:p w14:paraId="77B46CC0" w14:textId="5E67FBC4" w:rsidR="4DE5D8AA" w:rsidRDefault="4DE5D8AA" w:rsidP="4DE5D8AA">
      <w:pPr>
        <w:shd w:val="clear" w:color="auto" w:fill="FFFFFF" w:themeFill="background1"/>
        <w:rPr>
          <w:rFonts w:ascii="Tahoma" w:eastAsia="Tahoma" w:hAnsi="Tahoma" w:cs="Tahoma"/>
          <w:color w:val="000000" w:themeColor="text1"/>
          <w:sz w:val="24"/>
          <w:szCs w:val="24"/>
        </w:rPr>
      </w:pPr>
    </w:p>
    <w:p w14:paraId="687366CA" w14:textId="6A7D1E63" w:rsidR="6C8C2577" w:rsidRDefault="6C8C2577" w:rsidP="4DE5D8AA">
      <w:pPr>
        <w:shd w:val="clear" w:color="auto" w:fill="FFFFFF" w:themeFill="background1"/>
        <w:rPr>
          <w:rFonts w:ascii="Tahoma" w:eastAsia="Tahoma" w:hAnsi="Tahoma" w:cs="Tahoma"/>
          <w:sz w:val="24"/>
          <w:szCs w:val="24"/>
        </w:rPr>
      </w:pPr>
      <w:r w:rsidRPr="4DE5D8AA">
        <w:rPr>
          <w:rFonts w:ascii="Tahoma" w:eastAsia="Tahoma" w:hAnsi="Tahoma" w:cs="Tahoma"/>
          <w:color w:val="000000" w:themeColor="text1"/>
          <w:sz w:val="24"/>
          <w:szCs w:val="24"/>
        </w:rPr>
        <w:t xml:space="preserve">AgingCT </w:t>
      </w:r>
      <w:r w:rsidRPr="4DE5D8AA">
        <w:rPr>
          <w:rFonts w:ascii="Tahoma" w:eastAsia="Tahoma" w:hAnsi="Tahoma" w:cs="Tahoma"/>
          <w:sz w:val="24"/>
          <w:szCs w:val="24"/>
        </w:rPr>
        <w:t xml:space="preserve">is in favor of S.B. 310, an act concerning compensation for family caregivers, retroactive eligibility for </w:t>
      </w:r>
      <w:r w:rsidR="00C00653" w:rsidRPr="4DE5D8AA">
        <w:rPr>
          <w:rFonts w:ascii="Tahoma" w:eastAsia="Tahoma" w:hAnsi="Tahoma" w:cs="Tahoma"/>
          <w:sz w:val="24"/>
          <w:szCs w:val="24"/>
        </w:rPr>
        <w:t>Medicaid</w:t>
      </w:r>
      <w:r w:rsidRPr="4DE5D8AA">
        <w:rPr>
          <w:rFonts w:ascii="Tahoma" w:eastAsia="Tahoma" w:hAnsi="Tahoma" w:cs="Tahoma"/>
          <w:sz w:val="24"/>
          <w:szCs w:val="24"/>
        </w:rPr>
        <w:t xml:space="preserve"> and treatment of assets discovered after an application for medical assistance</w:t>
      </w:r>
      <w:r w:rsidR="31136EEB" w:rsidRPr="4DE5D8AA">
        <w:rPr>
          <w:rFonts w:ascii="Tahoma" w:eastAsia="Tahoma" w:hAnsi="Tahoma" w:cs="Tahoma"/>
          <w:sz w:val="24"/>
          <w:szCs w:val="24"/>
        </w:rPr>
        <w:t>.  F</w:t>
      </w:r>
      <w:r w:rsidRPr="4DE5D8AA">
        <w:rPr>
          <w:rFonts w:ascii="Tahoma" w:eastAsia="Tahoma" w:hAnsi="Tahoma" w:cs="Tahoma"/>
          <w:sz w:val="24"/>
          <w:szCs w:val="24"/>
        </w:rPr>
        <w:t xml:space="preserve">amily caregivers </w:t>
      </w:r>
      <w:r w:rsidR="1065E184" w:rsidRPr="4DE5D8AA">
        <w:rPr>
          <w:rFonts w:ascii="Tahoma" w:eastAsia="Tahoma" w:hAnsi="Tahoma" w:cs="Tahoma"/>
          <w:sz w:val="24"/>
          <w:szCs w:val="24"/>
        </w:rPr>
        <w:t xml:space="preserve">should be </w:t>
      </w:r>
      <w:r w:rsidRPr="4DE5D8AA">
        <w:rPr>
          <w:rFonts w:ascii="Tahoma" w:eastAsia="Tahoma" w:hAnsi="Tahoma" w:cs="Tahoma"/>
          <w:sz w:val="24"/>
          <w:szCs w:val="24"/>
        </w:rPr>
        <w:t>authorized to receive compensation in Medicaid-funded programs at the rate of professional caregivers</w:t>
      </w:r>
      <w:r w:rsidR="336649F3" w:rsidRPr="4DE5D8AA">
        <w:rPr>
          <w:rFonts w:ascii="Tahoma" w:eastAsia="Tahoma" w:hAnsi="Tahoma" w:cs="Tahoma"/>
          <w:sz w:val="24"/>
          <w:szCs w:val="24"/>
        </w:rPr>
        <w:t xml:space="preserve">.  Family caregivers </w:t>
      </w:r>
      <w:r w:rsidR="00C43BEA">
        <w:rPr>
          <w:rFonts w:ascii="Tahoma" w:eastAsia="Tahoma" w:hAnsi="Tahoma" w:cs="Tahoma"/>
          <w:sz w:val="24"/>
          <w:szCs w:val="24"/>
        </w:rPr>
        <w:t>add support to a shrinking workforce</w:t>
      </w:r>
      <w:r w:rsidR="336649F3" w:rsidRPr="4DE5D8AA">
        <w:rPr>
          <w:rFonts w:ascii="Tahoma" w:eastAsia="Tahoma" w:hAnsi="Tahoma" w:cs="Tahoma"/>
          <w:sz w:val="24"/>
          <w:szCs w:val="24"/>
        </w:rPr>
        <w:t xml:space="preserve"> and respond to the cul</w:t>
      </w:r>
      <w:r w:rsidR="4F0AC6B5" w:rsidRPr="4DE5D8AA">
        <w:rPr>
          <w:rFonts w:ascii="Tahoma" w:eastAsia="Tahoma" w:hAnsi="Tahoma" w:cs="Tahoma"/>
          <w:sz w:val="24"/>
          <w:szCs w:val="24"/>
        </w:rPr>
        <w:t xml:space="preserve">tural and linguistic needs of adults </w:t>
      </w:r>
      <w:r w:rsidR="00C43BEA">
        <w:rPr>
          <w:rFonts w:ascii="Tahoma" w:eastAsia="Tahoma" w:hAnsi="Tahoma" w:cs="Tahoma"/>
          <w:sz w:val="24"/>
          <w:szCs w:val="24"/>
        </w:rPr>
        <w:t>in need of long-term care</w:t>
      </w:r>
      <w:r w:rsidR="4F0AC6B5" w:rsidRPr="4DE5D8AA">
        <w:rPr>
          <w:rFonts w:ascii="Tahoma" w:eastAsia="Tahoma" w:hAnsi="Tahoma" w:cs="Tahoma"/>
          <w:sz w:val="24"/>
          <w:szCs w:val="24"/>
        </w:rPr>
        <w:t xml:space="preserve">.   </w:t>
      </w:r>
    </w:p>
    <w:p w14:paraId="41A74FE4" w14:textId="43C3F6FA" w:rsidR="4DE5D8AA" w:rsidRDefault="4DE5D8AA" w:rsidP="4DE5D8AA">
      <w:pPr>
        <w:shd w:val="clear" w:color="auto" w:fill="FFFFFF" w:themeFill="background1"/>
        <w:rPr>
          <w:rFonts w:ascii="Tahoma" w:eastAsia="Tahoma" w:hAnsi="Tahoma" w:cs="Tahoma"/>
          <w:sz w:val="24"/>
          <w:szCs w:val="24"/>
        </w:rPr>
      </w:pPr>
    </w:p>
    <w:p w14:paraId="3892661A" w14:textId="0C6A2B74" w:rsidR="4F0AC6B5" w:rsidRDefault="4F0AC6B5" w:rsidP="4DE5D8AA">
      <w:pPr>
        <w:shd w:val="clear" w:color="auto" w:fill="FFFFFF" w:themeFill="background1"/>
        <w:rPr>
          <w:rFonts w:ascii="Tahoma" w:eastAsia="Tahoma" w:hAnsi="Tahoma" w:cs="Tahoma"/>
          <w:sz w:val="24"/>
          <w:szCs w:val="24"/>
        </w:rPr>
      </w:pPr>
      <w:r w:rsidRPr="4DE5D8AA">
        <w:rPr>
          <w:rFonts w:ascii="Tahoma" w:eastAsia="Tahoma" w:hAnsi="Tahoma" w:cs="Tahoma"/>
          <w:sz w:val="24"/>
          <w:szCs w:val="24"/>
        </w:rPr>
        <w:t>Individuals qualifying for the Medical Assistance Program including the Medicaid waiver should receive</w:t>
      </w:r>
      <w:r w:rsidR="6C8C2577" w:rsidRPr="4DE5D8AA">
        <w:rPr>
          <w:rFonts w:ascii="Tahoma" w:eastAsia="Tahoma" w:hAnsi="Tahoma" w:cs="Tahoma"/>
          <w:sz w:val="24"/>
          <w:szCs w:val="24"/>
        </w:rPr>
        <w:t xml:space="preserve"> retroactive Medicaid eligibility</w:t>
      </w:r>
      <w:r w:rsidR="60B923D9" w:rsidRPr="4DE5D8AA">
        <w:rPr>
          <w:rFonts w:ascii="Tahoma" w:eastAsia="Tahoma" w:hAnsi="Tahoma" w:cs="Tahoma"/>
          <w:sz w:val="24"/>
          <w:szCs w:val="24"/>
        </w:rPr>
        <w:t xml:space="preserve">.  Retroactive eligibility may decrease premature institutional placement when caregivers </w:t>
      </w:r>
      <w:r w:rsidR="00C43BEA">
        <w:rPr>
          <w:rFonts w:ascii="Tahoma" w:eastAsia="Tahoma" w:hAnsi="Tahoma" w:cs="Tahoma"/>
          <w:sz w:val="24"/>
          <w:szCs w:val="24"/>
        </w:rPr>
        <w:t xml:space="preserve">feel confident </w:t>
      </w:r>
      <w:r w:rsidR="1F5E090B" w:rsidRPr="4DE5D8AA">
        <w:rPr>
          <w:rFonts w:ascii="Tahoma" w:eastAsia="Tahoma" w:hAnsi="Tahoma" w:cs="Tahoma"/>
          <w:sz w:val="24"/>
          <w:szCs w:val="24"/>
        </w:rPr>
        <w:t xml:space="preserve">that </w:t>
      </w:r>
      <w:r w:rsidR="60B923D9" w:rsidRPr="4DE5D8AA">
        <w:rPr>
          <w:rFonts w:ascii="Tahoma" w:eastAsia="Tahoma" w:hAnsi="Tahoma" w:cs="Tahoma"/>
          <w:sz w:val="24"/>
          <w:szCs w:val="24"/>
        </w:rPr>
        <w:t>payment for services will cover the peri</w:t>
      </w:r>
      <w:r w:rsidR="2F64D8FB" w:rsidRPr="4DE5D8AA">
        <w:rPr>
          <w:rFonts w:ascii="Tahoma" w:eastAsia="Tahoma" w:hAnsi="Tahoma" w:cs="Tahoma"/>
          <w:sz w:val="24"/>
          <w:szCs w:val="24"/>
        </w:rPr>
        <w:t xml:space="preserve">od between application and enrollment.  </w:t>
      </w:r>
      <w:r w:rsidR="6C8C2577" w:rsidRPr="4DE5D8AA">
        <w:rPr>
          <w:rFonts w:ascii="Tahoma" w:eastAsia="Tahoma" w:hAnsi="Tahoma" w:cs="Tahoma"/>
          <w:sz w:val="24"/>
          <w:szCs w:val="24"/>
        </w:rPr>
        <w:t xml:space="preserve"> </w:t>
      </w:r>
    </w:p>
    <w:p w14:paraId="2B721541" w14:textId="03C26326" w:rsidR="4DE5D8AA" w:rsidRDefault="4DE5D8AA" w:rsidP="4DE5D8AA">
      <w:pPr>
        <w:shd w:val="clear" w:color="auto" w:fill="FFFFFF" w:themeFill="background1"/>
        <w:rPr>
          <w:rFonts w:ascii="Tahoma" w:eastAsia="Tahoma" w:hAnsi="Tahoma" w:cs="Tahoma"/>
          <w:sz w:val="24"/>
          <w:szCs w:val="24"/>
        </w:rPr>
      </w:pPr>
    </w:p>
    <w:p w14:paraId="117CB712" w14:textId="6058D5FF" w:rsidR="5EBCEA26" w:rsidRDefault="5EBCEA26" w:rsidP="4DE5D8AA">
      <w:pPr>
        <w:shd w:val="clear" w:color="auto" w:fill="FFFFFF" w:themeFill="background1"/>
        <w:rPr>
          <w:rFonts w:ascii="Tahoma" w:eastAsia="Tahoma" w:hAnsi="Tahoma" w:cs="Tahoma"/>
          <w:sz w:val="24"/>
          <w:szCs w:val="24"/>
        </w:rPr>
      </w:pPr>
      <w:r w:rsidRPr="4DE5D8AA">
        <w:rPr>
          <w:rFonts w:ascii="Tahoma" w:eastAsia="Tahoma" w:hAnsi="Tahoma" w:cs="Tahoma"/>
          <w:sz w:val="24"/>
          <w:szCs w:val="24"/>
        </w:rPr>
        <w:t xml:space="preserve">Applying for Medicaid is complex.  </w:t>
      </w:r>
      <w:r w:rsidR="51B9F396" w:rsidRPr="4DE5D8AA">
        <w:rPr>
          <w:rFonts w:ascii="Tahoma" w:eastAsia="Tahoma" w:hAnsi="Tahoma" w:cs="Tahoma"/>
          <w:sz w:val="24"/>
          <w:szCs w:val="24"/>
        </w:rPr>
        <w:t xml:space="preserve">Unintentional </w:t>
      </w:r>
      <w:r w:rsidR="00C43BEA" w:rsidRPr="4DE5D8AA">
        <w:rPr>
          <w:rFonts w:ascii="Tahoma" w:eastAsia="Tahoma" w:hAnsi="Tahoma" w:cs="Tahoma"/>
          <w:sz w:val="24"/>
          <w:szCs w:val="24"/>
        </w:rPr>
        <w:t>omission</w:t>
      </w:r>
      <w:r w:rsidR="5DBAE270" w:rsidRPr="4DE5D8AA">
        <w:rPr>
          <w:rFonts w:ascii="Tahoma" w:eastAsia="Tahoma" w:hAnsi="Tahoma" w:cs="Tahoma"/>
          <w:sz w:val="24"/>
          <w:szCs w:val="24"/>
        </w:rPr>
        <w:t xml:space="preserve"> of an asset </w:t>
      </w:r>
      <w:r w:rsidR="69C9A5EA" w:rsidRPr="4DE5D8AA">
        <w:rPr>
          <w:rFonts w:ascii="Tahoma" w:eastAsia="Tahoma" w:hAnsi="Tahoma" w:cs="Tahoma"/>
          <w:sz w:val="24"/>
          <w:szCs w:val="24"/>
        </w:rPr>
        <w:t xml:space="preserve">that has been reported by the individual should not result in penalties other than requiring the individual to spend down the asset until eligibility can be resumed.  This change will ensure </w:t>
      </w:r>
      <w:r w:rsidR="1118D4B2" w:rsidRPr="4DE5D8AA">
        <w:rPr>
          <w:rFonts w:ascii="Tahoma" w:eastAsia="Tahoma" w:hAnsi="Tahoma" w:cs="Tahoma"/>
          <w:sz w:val="24"/>
          <w:szCs w:val="24"/>
        </w:rPr>
        <w:t>that individuals do not lose Medicaid coverage and services designed to provide a</w:t>
      </w:r>
      <w:r w:rsidR="00C43BEA">
        <w:rPr>
          <w:rFonts w:ascii="Tahoma" w:eastAsia="Tahoma" w:hAnsi="Tahoma" w:cs="Tahoma"/>
          <w:sz w:val="24"/>
          <w:szCs w:val="24"/>
        </w:rPr>
        <w:t xml:space="preserve"> safe</w:t>
      </w:r>
      <w:r w:rsidR="1118D4B2" w:rsidRPr="4DE5D8AA">
        <w:rPr>
          <w:rFonts w:ascii="Tahoma" w:eastAsia="Tahoma" w:hAnsi="Tahoma" w:cs="Tahoma"/>
          <w:sz w:val="24"/>
          <w:szCs w:val="24"/>
        </w:rPr>
        <w:t xml:space="preserve"> alternative to nursing home placement. </w:t>
      </w:r>
    </w:p>
    <w:p w14:paraId="0ABB3AE1" w14:textId="3C9F7967" w:rsidR="4DE5D8AA" w:rsidRDefault="4DE5D8AA" w:rsidP="4DE5D8AA">
      <w:pPr>
        <w:shd w:val="clear" w:color="auto" w:fill="FFFFFF" w:themeFill="background1"/>
        <w:rPr>
          <w:rFonts w:ascii="Tahoma" w:eastAsia="Tahoma" w:hAnsi="Tahoma" w:cs="Tahoma"/>
          <w:sz w:val="24"/>
          <w:szCs w:val="24"/>
        </w:rPr>
      </w:pPr>
    </w:p>
    <w:p w14:paraId="7EBBED5C" w14:textId="3C5B8013" w:rsidR="4DE5D8AA" w:rsidRDefault="4DE5D8AA" w:rsidP="4DE5D8AA">
      <w:pPr>
        <w:shd w:val="clear" w:color="auto" w:fill="FFFFFF" w:themeFill="background1"/>
        <w:rPr>
          <w:rFonts w:ascii="Tahoma" w:eastAsia="Tahoma" w:hAnsi="Tahoma" w:cs="Tahoma"/>
          <w:sz w:val="24"/>
          <w:szCs w:val="24"/>
        </w:rPr>
      </w:pPr>
    </w:p>
    <w:p w14:paraId="4ED52C56" w14:textId="1710870C" w:rsidR="64C74FFB" w:rsidRDefault="64C74FFB" w:rsidP="4DE5D8AA">
      <w:pPr>
        <w:shd w:val="clear" w:color="auto" w:fill="FFFFFF" w:themeFill="background1"/>
        <w:rPr>
          <w:rFonts w:ascii="Tahoma" w:eastAsia="Tahoma" w:hAnsi="Tahoma" w:cs="Tahoma"/>
          <w:b/>
          <w:bCs/>
          <w:color w:val="ED5C57"/>
          <w:sz w:val="24"/>
          <w:szCs w:val="24"/>
        </w:rPr>
      </w:pPr>
      <w:r w:rsidRPr="4DE5D8AA">
        <w:rPr>
          <w:rFonts w:ascii="Tahoma" w:eastAsia="Tahoma" w:hAnsi="Tahoma" w:cs="Tahoma"/>
          <w:b/>
          <w:bCs/>
          <w:color w:val="000000" w:themeColor="text1"/>
          <w:sz w:val="24"/>
          <w:szCs w:val="24"/>
        </w:rPr>
        <w:t>S.B. No. 311 (RAISED) AN ACT CONCERNING THE CONNECTICUT HOMECARE PROGRAM FOR THE ELDERLY</w:t>
      </w:r>
    </w:p>
    <w:p w14:paraId="74E9FC4D" w14:textId="617D8505" w:rsidR="4DE5D8AA" w:rsidRDefault="4DE5D8AA" w:rsidP="4DE5D8AA">
      <w:pPr>
        <w:rPr>
          <w:rFonts w:ascii="Tahoma" w:hAnsi="Tahoma" w:cs="Tahoma"/>
          <w:b/>
          <w:bCs/>
          <w:sz w:val="24"/>
          <w:szCs w:val="24"/>
        </w:rPr>
      </w:pPr>
    </w:p>
    <w:p w14:paraId="59577275" w14:textId="2A2FEF0A" w:rsidR="31474EA3" w:rsidRDefault="31474EA3" w:rsidP="4DE5D8AA">
      <w:pPr>
        <w:shd w:val="clear" w:color="auto" w:fill="FFFFFF" w:themeFill="background1"/>
        <w:rPr>
          <w:rFonts w:ascii="Tahoma" w:eastAsia="Tahoma" w:hAnsi="Tahoma" w:cs="Tahoma"/>
          <w:color w:val="000000" w:themeColor="text1"/>
          <w:sz w:val="24"/>
          <w:szCs w:val="24"/>
        </w:rPr>
      </w:pPr>
      <w:r w:rsidRPr="4DE5D8AA">
        <w:rPr>
          <w:rFonts w:ascii="Tahoma" w:hAnsi="Tahoma" w:cs="Tahoma"/>
          <w:sz w:val="24"/>
          <w:szCs w:val="24"/>
        </w:rPr>
        <w:t xml:space="preserve">AgingCT supports </w:t>
      </w:r>
      <w:r w:rsidRPr="4DE5D8AA">
        <w:rPr>
          <w:rFonts w:ascii="Tahoma" w:eastAsia="Tahoma" w:hAnsi="Tahoma" w:cs="Tahoma"/>
          <w:color w:val="000000" w:themeColor="text1"/>
          <w:sz w:val="24"/>
          <w:szCs w:val="24"/>
        </w:rPr>
        <w:t xml:space="preserve">S.B. No. 311, an act concerning the Connecticut Homecare </w:t>
      </w:r>
      <w:r w:rsidR="5D3CA2CA" w:rsidRPr="4DE5D8AA">
        <w:rPr>
          <w:rFonts w:ascii="Tahoma" w:eastAsia="Tahoma" w:hAnsi="Tahoma" w:cs="Tahoma"/>
          <w:color w:val="000000" w:themeColor="text1"/>
          <w:sz w:val="24"/>
          <w:szCs w:val="24"/>
        </w:rPr>
        <w:t>P</w:t>
      </w:r>
      <w:r w:rsidRPr="4DE5D8AA">
        <w:rPr>
          <w:rFonts w:ascii="Tahoma" w:eastAsia="Tahoma" w:hAnsi="Tahoma" w:cs="Tahoma"/>
          <w:color w:val="000000" w:themeColor="text1"/>
          <w:sz w:val="24"/>
          <w:szCs w:val="24"/>
        </w:rPr>
        <w:t xml:space="preserve">rogram for the </w:t>
      </w:r>
      <w:r w:rsidR="10202C41" w:rsidRPr="4DE5D8AA">
        <w:rPr>
          <w:rFonts w:ascii="Tahoma" w:eastAsia="Tahoma" w:hAnsi="Tahoma" w:cs="Tahoma"/>
          <w:color w:val="000000" w:themeColor="text1"/>
          <w:sz w:val="24"/>
          <w:szCs w:val="24"/>
        </w:rPr>
        <w:t>E</w:t>
      </w:r>
      <w:r w:rsidRPr="4DE5D8AA">
        <w:rPr>
          <w:rFonts w:ascii="Tahoma" w:eastAsia="Tahoma" w:hAnsi="Tahoma" w:cs="Tahoma"/>
          <w:color w:val="000000" w:themeColor="text1"/>
          <w:sz w:val="24"/>
          <w:szCs w:val="24"/>
        </w:rPr>
        <w:t>lderly</w:t>
      </w:r>
      <w:r w:rsidR="06F8C319" w:rsidRPr="4DE5D8AA">
        <w:rPr>
          <w:rFonts w:ascii="Tahoma" w:eastAsia="Tahoma" w:hAnsi="Tahoma" w:cs="Tahoma"/>
          <w:color w:val="000000" w:themeColor="text1"/>
          <w:sz w:val="24"/>
          <w:szCs w:val="24"/>
        </w:rPr>
        <w:t xml:space="preserve">.  </w:t>
      </w:r>
    </w:p>
    <w:p w14:paraId="3C72F908" w14:textId="1579240A" w:rsidR="4DE5D8AA" w:rsidRDefault="4DE5D8AA" w:rsidP="4DE5D8AA">
      <w:pPr>
        <w:shd w:val="clear" w:color="auto" w:fill="FFFFFF" w:themeFill="background1"/>
        <w:rPr>
          <w:rFonts w:ascii="Tahoma" w:eastAsia="Tahoma" w:hAnsi="Tahoma" w:cs="Tahoma"/>
          <w:color w:val="000000" w:themeColor="text1"/>
          <w:sz w:val="24"/>
          <w:szCs w:val="24"/>
        </w:rPr>
      </w:pPr>
    </w:p>
    <w:p w14:paraId="2FCF14E9" w14:textId="1CBE37A9" w:rsidR="6F2616D7" w:rsidRDefault="6F2616D7" w:rsidP="4DE5D8AA">
      <w:pPr>
        <w:shd w:val="clear" w:color="auto" w:fill="FFFFFF" w:themeFill="background1"/>
        <w:rPr>
          <w:rFonts w:ascii="Tahoma" w:eastAsia="Tahoma" w:hAnsi="Tahoma" w:cs="Tahoma"/>
          <w:color w:val="000000" w:themeColor="text1"/>
          <w:sz w:val="24"/>
          <w:szCs w:val="24"/>
        </w:rPr>
      </w:pPr>
      <w:r w:rsidRPr="4DE5D8AA">
        <w:rPr>
          <w:rFonts w:ascii="Tahoma" w:eastAsia="Tahoma" w:hAnsi="Tahoma" w:cs="Tahoma"/>
          <w:color w:val="000000" w:themeColor="text1"/>
          <w:sz w:val="24"/>
          <w:szCs w:val="24"/>
        </w:rPr>
        <w:lastRenderedPageBreak/>
        <w:t xml:space="preserve">Individuals discharged from a hospital or facing a </w:t>
      </w:r>
      <w:r w:rsidR="00C43BEA">
        <w:rPr>
          <w:rFonts w:ascii="Tahoma" w:eastAsia="Tahoma" w:hAnsi="Tahoma" w:cs="Tahoma"/>
          <w:color w:val="000000" w:themeColor="text1"/>
          <w:sz w:val="24"/>
          <w:szCs w:val="24"/>
        </w:rPr>
        <w:t xml:space="preserve">care </w:t>
      </w:r>
      <w:r w:rsidRPr="4DE5D8AA">
        <w:rPr>
          <w:rFonts w:ascii="Tahoma" w:eastAsia="Tahoma" w:hAnsi="Tahoma" w:cs="Tahoma"/>
          <w:color w:val="000000" w:themeColor="text1"/>
          <w:sz w:val="24"/>
          <w:szCs w:val="24"/>
        </w:rPr>
        <w:t>crisis in the community may apply for admission to a nursing facility or for Medicaid waiver programs</w:t>
      </w:r>
      <w:r w:rsidR="00991E81">
        <w:rPr>
          <w:rFonts w:ascii="Tahoma" w:eastAsia="Tahoma" w:hAnsi="Tahoma" w:cs="Tahoma"/>
          <w:color w:val="000000" w:themeColor="text1"/>
          <w:sz w:val="24"/>
          <w:szCs w:val="24"/>
        </w:rPr>
        <w:t xml:space="preserve"> in order to receive </w:t>
      </w:r>
      <w:r w:rsidR="0030315B">
        <w:rPr>
          <w:rFonts w:ascii="Tahoma" w:eastAsia="Tahoma" w:hAnsi="Tahoma" w:cs="Tahoma"/>
          <w:color w:val="000000" w:themeColor="text1"/>
          <w:sz w:val="24"/>
          <w:szCs w:val="24"/>
        </w:rPr>
        <w:t>the care they need</w:t>
      </w:r>
      <w:r w:rsidRPr="4DE5D8AA">
        <w:rPr>
          <w:rFonts w:ascii="Tahoma" w:eastAsia="Tahoma" w:hAnsi="Tahoma" w:cs="Tahoma"/>
          <w:color w:val="000000" w:themeColor="text1"/>
          <w:sz w:val="24"/>
          <w:szCs w:val="24"/>
        </w:rPr>
        <w:t xml:space="preserve">.  </w:t>
      </w:r>
      <w:r w:rsidR="00C43BEA">
        <w:rPr>
          <w:rFonts w:ascii="Tahoma" w:eastAsia="Tahoma" w:hAnsi="Tahoma" w:cs="Tahoma"/>
          <w:color w:val="000000" w:themeColor="text1"/>
          <w:sz w:val="24"/>
          <w:szCs w:val="24"/>
        </w:rPr>
        <w:t>A myriad of documents must be collected and presented</w:t>
      </w:r>
      <w:r w:rsidRPr="4DE5D8AA">
        <w:rPr>
          <w:rFonts w:ascii="Tahoma" w:eastAsia="Tahoma" w:hAnsi="Tahoma" w:cs="Tahoma"/>
          <w:color w:val="000000" w:themeColor="text1"/>
          <w:sz w:val="24"/>
          <w:szCs w:val="24"/>
        </w:rPr>
        <w:t xml:space="preserve"> </w:t>
      </w:r>
      <w:r w:rsidR="00C43BEA">
        <w:rPr>
          <w:rFonts w:ascii="Tahoma" w:eastAsia="Tahoma" w:hAnsi="Tahoma" w:cs="Tahoma"/>
          <w:color w:val="000000" w:themeColor="text1"/>
          <w:sz w:val="24"/>
          <w:szCs w:val="24"/>
        </w:rPr>
        <w:t xml:space="preserve">to determine </w:t>
      </w:r>
      <w:r w:rsidRPr="4DE5D8AA">
        <w:rPr>
          <w:rFonts w:ascii="Tahoma" w:eastAsia="Tahoma" w:hAnsi="Tahoma" w:cs="Tahoma"/>
          <w:color w:val="000000" w:themeColor="text1"/>
          <w:sz w:val="24"/>
          <w:szCs w:val="24"/>
        </w:rPr>
        <w:t xml:space="preserve">the individual’s financial eligibility for Medicaid. Federal rules require </w:t>
      </w:r>
      <w:r w:rsidR="00C43BEA">
        <w:rPr>
          <w:rFonts w:ascii="Tahoma" w:eastAsia="Tahoma" w:hAnsi="Tahoma" w:cs="Tahoma"/>
          <w:color w:val="000000" w:themeColor="text1"/>
          <w:sz w:val="24"/>
          <w:szCs w:val="24"/>
        </w:rPr>
        <w:t xml:space="preserve">the Department of Social Services to make </w:t>
      </w:r>
      <w:r w:rsidRPr="4DE5D8AA">
        <w:rPr>
          <w:rFonts w:ascii="Tahoma" w:eastAsia="Tahoma" w:hAnsi="Tahoma" w:cs="Tahoma"/>
          <w:color w:val="000000" w:themeColor="text1"/>
          <w:sz w:val="24"/>
          <w:szCs w:val="24"/>
        </w:rPr>
        <w:t xml:space="preserve">determinations of financial eligibility for Medicaid within 45 days from the date of application. </w:t>
      </w:r>
      <w:r w:rsidR="00C43BEA">
        <w:rPr>
          <w:rFonts w:ascii="Tahoma" w:eastAsia="Tahoma" w:hAnsi="Tahoma" w:cs="Tahoma"/>
          <w:color w:val="000000" w:themeColor="text1"/>
          <w:sz w:val="24"/>
          <w:szCs w:val="24"/>
        </w:rPr>
        <w:t xml:space="preserve">There are </w:t>
      </w:r>
      <w:r w:rsidR="0030315B">
        <w:rPr>
          <w:rFonts w:ascii="Tahoma" w:eastAsia="Tahoma" w:hAnsi="Tahoma" w:cs="Tahoma"/>
          <w:color w:val="000000" w:themeColor="text1"/>
          <w:sz w:val="24"/>
          <w:szCs w:val="24"/>
        </w:rPr>
        <w:t>often</w:t>
      </w:r>
      <w:r w:rsidR="00C43BEA">
        <w:rPr>
          <w:rFonts w:ascii="Tahoma" w:eastAsia="Tahoma" w:hAnsi="Tahoma" w:cs="Tahoma"/>
          <w:color w:val="000000" w:themeColor="text1"/>
          <w:sz w:val="24"/>
          <w:szCs w:val="24"/>
        </w:rPr>
        <w:t xml:space="preserve"> delays in gathering or evaluating the application documents.  S</w:t>
      </w:r>
      <w:r w:rsidRPr="4DE5D8AA">
        <w:rPr>
          <w:rFonts w:ascii="Tahoma" w:eastAsia="Tahoma" w:hAnsi="Tahoma" w:cs="Tahoma"/>
          <w:color w:val="000000" w:themeColor="text1"/>
          <w:sz w:val="24"/>
          <w:szCs w:val="24"/>
        </w:rPr>
        <w:t xml:space="preserve">ervice plans for people in crisis depend on the availability of </w:t>
      </w:r>
      <w:r w:rsidR="2DCAFC09" w:rsidRPr="4DE5D8AA">
        <w:rPr>
          <w:rFonts w:ascii="Tahoma" w:eastAsia="Tahoma" w:hAnsi="Tahoma" w:cs="Tahoma"/>
          <w:color w:val="000000" w:themeColor="text1"/>
          <w:sz w:val="24"/>
          <w:szCs w:val="24"/>
        </w:rPr>
        <w:t xml:space="preserve">immediate </w:t>
      </w:r>
      <w:r w:rsidRPr="4DE5D8AA">
        <w:rPr>
          <w:rFonts w:ascii="Tahoma" w:eastAsia="Tahoma" w:hAnsi="Tahoma" w:cs="Tahoma"/>
          <w:color w:val="000000" w:themeColor="text1"/>
          <w:sz w:val="24"/>
          <w:szCs w:val="24"/>
        </w:rPr>
        <w:t xml:space="preserve">home and </w:t>
      </w:r>
      <w:r w:rsidR="0007520F" w:rsidRPr="4DE5D8AA">
        <w:rPr>
          <w:rFonts w:ascii="Tahoma" w:eastAsia="Tahoma" w:hAnsi="Tahoma" w:cs="Tahoma"/>
          <w:color w:val="000000" w:themeColor="text1"/>
          <w:sz w:val="24"/>
          <w:szCs w:val="24"/>
        </w:rPr>
        <w:t>community-based</w:t>
      </w:r>
      <w:r w:rsidRPr="4DE5D8AA">
        <w:rPr>
          <w:rFonts w:ascii="Tahoma" w:eastAsia="Tahoma" w:hAnsi="Tahoma" w:cs="Tahoma"/>
          <w:color w:val="000000" w:themeColor="text1"/>
          <w:sz w:val="24"/>
          <w:szCs w:val="24"/>
        </w:rPr>
        <w:t xml:space="preserve"> services when the person leaves a hospital or has a crisis. </w:t>
      </w:r>
      <w:r w:rsidR="00A7710D" w:rsidRPr="4DE5D8AA">
        <w:rPr>
          <w:rFonts w:ascii="Tahoma" w:eastAsia="Tahoma" w:hAnsi="Tahoma" w:cs="Tahoma"/>
          <w:color w:val="000000" w:themeColor="text1"/>
          <w:sz w:val="24"/>
          <w:szCs w:val="24"/>
        </w:rPr>
        <w:t xml:space="preserve">AgingCT’s </w:t>
      </w:r>
      <w:r w:rsidR="00C43BEA">
        <w:rPr>
          <w:rFonts w:ascii="Tahoma" w:eastAsia="Tahoma" w:hAnsi="Tahoma" w:cs="Tahoma"/>
          <w:color w:val="000000" w:themeColor="text1"/>
          <w:sz w:val="24"/>
          <w:szCs w:val="24"/>
        </w:rPr>
        <w:t xml:space="preserve">case management </w:t>
      </w:r>
      <w:r w:rsidR="00A7710D" w:rsidRPr="4DE5D8AA">
        <w:rPr>
          <w:rFonts w:ascii="Tahoma" w:eastAsia="Tahoma" w:hAnsi="Tahoma" w:cs="Tahoma"/>
          <w:color w:val="000000" w:themeColor="text1"/>
          <w:sz w:val="24"/>
          <w:szCs w:val="24"/>
        </w:rPr>
        <w:t xml:space="preserve">experience </w:t>
      </w:r>
      <w:r w:rsidR="00C43BEA" w:rsidRPr="4DE5D8AA">
        <w:rPr>
          <w:rFonts w:ascii="Tahoma" w:eastAsia="Tahoma" w:hAnsi="Tahoma" w:cs="Tahoma"/>
          <w:color w:val="000000" w:themeColor="text1"/>
          <w:sz w:val="24"/>
          <w:szCs w:val="24"/>
        </w:rPr>
        <w:t>contends</w:t>
      </w:r>
      <w:r w:rsidRPr="4DE5D8AA">
        <w:rPr>
          <w:rFonts w:ascii="Tahoma" w:eastAsia="Tahoma" w:hAnsi="Tahoma" w:cs="Tahoma"/>
          <w:color w:val="000000" w:themeColor="text1"/>
          <w:sz w:val="24"/>
          <w:szCs w:val="24"/>
        </w:rPr>
        <w:t xml:space="preserve"> that a delay in determining financial eligibility may dictate whether a person remains in a community setting or enters a nursing facility.</w:t>
      </w:r>
      <w:r w:rsidR="00D473FC" w:rsidRPr="4DE5D8AA">
        <w:rPr>
          <w:rFonts w:ascii="Tahoma" w:eastAsia="Tahoma" w:hAnsi="Tahoma" w:cs="Tahoma"/>
          <w:color w:val="000000" w:themeColor="text1"/>
          <w:sz w:val="24"/>
          <w:szCs w:val="24"/>
        </w:rPr>
        <w:t xml:space="preserve">  Implementing a Presumpt</w:t>
      </w:r>
      <w:r w:rsidR="18653562" w:rsidRPr="4DE5D8AA">
        <w:rPr>
          <w:rFonts w:ascii="Tahoma" w:eastAsia="Tahoma" w:hAnsi="Tahoma" w:cs="Tahoma"/>
          <w:color w:val="000000" w:themeColor="text1"/>
          <w:sz w:val="24"/>
          <w:szCs w:val="24"/>
        </w:rPr>
        <w:t xml:space="preserve">ive Eligibility program for Connecticut’s older residents in need of care is a benefit to family caregivers while </w:t>
      </w:r>
      <w:r w:rsidR="0007520F" w:rsidRPr="4DE5D8AA">
        <w:rPr>
          <w:rFonts w:ascii="Tahoma" w:eastAsia="Tahoma" w:hAnsi="Tahoma" w:cs="Tahoma"/>
          <w:color w:val="000000" w:themeColor="text1"/>
          <w:sz w:val="24"/>
          <w:szCs w:val="24"/>
        </w:rPr>
        <w:t>reducing</w:t>
      </w:r>
      <w:r w:rsidR="18653562" w:rsidRPr="4DE5D8AA">
        <w:rPr>
          <w:rFonts w:ascii="Tahoma" w:eastAsia="Tahoma" w:hAnsi="Tahoma" w:cs="Tahoma"/>
          <w:color w:val="000000" w:themeColor="text1"/>
          <w:sz w:val="24"/>
          <w:szCs w:val="24"/>
        </w:rPr>
        <w:t xml:space="preserve"> our reliance on more expensive, </w:t>
      </w:r>
      <w:r w:rsidR="45DFEF91" w:rsidRPr="4DE5D8AA">
        <w:rPr>
          <w:rFonts w:ascii="Tahoma" w:eastAsia="Tahoma" w:hAnsi="Tahoma" w:cs="Tahoma"/>
          <w:color w:val="000000" w:themeColor="text1"/>
          <w:sz w:val="24"/>
          <w:szCs w:val="24"/>
        </w:rPr>
        <w:t xml:space="preserve">institutional alternatives.  </w:t>
      </w:r>
    </w:p>
    <w:p w14:paraId="78C6AD93" w14:textId="7CA06946" w:rsidR="4DE5D8AA" w:rsidRDefault="4DE5D8AA" w:rsidP="4DE5D8AA">
      <w:pPr>
        <w:shd w:val="clear" w:color="auto" w:fill="FFFFFF" w:themeFill="background1"/>
        <w:ind w:right="-20"/>
        <w:rPr>
          <w:rFonts w:ascii="Lato" w:eastAsia="Lato" w:hAnsi="Lato" w:cs="Lato"/>
          <w:color w:val="37383D"/>
          <w:sz w:val="24"/>
          <w:szCs w:val="24"/>
        </w:rPr>
      </w:pPr>
    </w:p>
    <w:p w14:paraId="3CF9DDAE" w14:textId="054A0E34" w:rsidR="7D8999CE" w:rsidRDefault="7D8999CE" w:rsidP="4DE5D8AA">
      <w:pPr>
        <w:shd w:val="clear" w:color="auto" w:fill="FFFFFF" w:themeFill="background1"/>
        <w:rPr>
          <w:rFonts w:ascii="Tahoma" w:eastAsia="Tahoma" w:hAnsi="Tahoma" w:cs="Tahoma"/>
          <w:color w:val="000000" w:themeColor="text1"/>
          <w:sz w:val="24"/>
          <w:szCs w:val="24"/>
        </w:rPr>
      </w:pPr>
      <w:r w:rsidRPr="4DE5D8AA">
        <w:rPr>
          <w:rFonts w:ascii="Tahoma" w:eastAsia="Tahoma" w:hAnsi="Tahoma" w:cs="Tahoma"/>
          <w:color w:val="000000" w:themeColor="text1"/>
          <w:sz w:val="24"/>
          <w:szCs w:val="24"/>
        </w:rPr>
        <w:t>Section 1115 waivers, allow states to apply for special flexibility to implement innovative designs or pilot programs in state Medicaid programs. The advantage of operating presumptive eligibility through an 1115 waiver is that the state can negotiate to share the risk with the federal government and claim reimbursements for HCBS services provided to individuals who are eventually determined ineligible for Medicaid.</w:t>
      </w:r>
      <w:r w:rsidRPr="4DE5D8AA">
        <w:rPr>
          <w:rFonts w:ascii="Tahoma" w:eastAsia="Tahoma" w:hAnsi="Tahoma" w:cs="Tahoma"/>
          <w:color w:val="000000" w:themeColor="text1"/>
          <w:sz w:val="24"/>
          <w:szCs w:val="24"/>
          <w:vertAlign w:val="superscript"/>
        </w:rPr>
        <w:t>1</w:t>
      </w:r>
    </w:p>
    <w:p w14:paraId="52C10F58" w14:textId="599ACB0F" w:rsidR="4DE5D8AA" w:rsidRDefault="4DE5D8AA" w:rsidP="4DE5D8AA">
      <w:pPr>
        <w:shd w:val="clear" w:color="auto" w:fill="FFFFFF" w:themeFill="background1"/>
        <w:rPr>
          <w:rFonts w:ascii="Tahoma" w:eastAsia="Tahoma" w:hAnsi="Tahoma" w:cs="Tahoma"/>
          <w:color w:val="000000" w:themeColor="text1"/>
          <w:sz w:val="24"/>
          <w:szCs w:val="24"/>
        </w:rPr>
      </w:pPr>
    </w:p>
    <w:p w14:paraId="2C4C34B2" w14:textId="318914A8" w:rsidR="0007520F" w:rsidRPr="0042756D" w:rsidRDefault="0007520F" w:rsidP="0007520F">
      <w:pPr>
        <w:rPr>
          <w:rFonts w:ascii="Tahoma" w:eastAsia="Tahoma" w:hAnsi="Tahoma" w:cs="Tahoma"/>
          <w:sz w:val="24"/>
          <w:szCs w:val="24"/>
        </w:rPr>
      </w:pPr>
      <w:r w:rsidRPr="55B8D798">
        <w:rPr>
          <w:color w:val="000000" w:themeColor="text1"/>
          <w:sz w:val="24"/>
          <w:szCs w:val="24"/>
          <w:lang w:val="en-US"/>
        </w:rPr>
        <w:t xml:space="preserve">Connecticut’s five Area Agencies on Aging collaborate under the name, AgingCT. We are independent, nonprofit organizations, with federal designation, dedicated to help older adults and persons with disabilities thrive in the community with dignity and support throughout their lives. </w:t>
      </w:r>
      <w:r w:rsidR="00C43BEA">
        <w:rPr>
          <w:color w:val="000000" w:themeColor="text1"/>
          <w:sz w:val="24"/>
          <w:szCs w:val="24"/>
          <w:lang w:val="en-US"/>
        </w:rPr>
        <w:t>We</w:t>
      </w:r>
      <w:r w:rsidRPr="55B8D798">
        <w:rPr>
          <w:color w:val="000000" w:themeColor="text1"/>
          <w:sz w:val="24"/>
          <w:szCs w:val="24"/>
          <w:lang w:val="en-US"/>
        </w:rPr>
        <w:t xml:space="preserve"> advocate and educate legislators, policy makers and Connecticut residents on the issues of importance to older constituents and those who support them. Visit </w:t>
      </w:r>
      <w:hyperlink r:id="rId10">
        <w:r w:rsidRPr="55B8D798">
          <w:rPr>
            <w:rStyle w:val="Hyperlink"/>
            <w:sz w:val="24"/>
            <w:szCs w:val="24"/>
            <w:lang w:val="en-US"/>
          </w:rPr>
          <w:t>www.agingct.org</w:t>
        </w:r>
      </w:hyperlink>
      <w:r w:rsidRPr="55B8D798">
        <w:rPr>
          <w:color w:val="000000" w:themeColor="text1"/>
          <w:sz w:val="24"/>
          <w:szCs w:val="24"/>
          <w:lang w:val="en-US"/>
        </w:rPr>
        <w:t xml:space="preserve"> to learn more. </w:t>
      </w:r>
    </w:p>
    <w:p w14:paraId="4A091D2E" w14:textId="2A456A7C" w:rsidR="4DE5D8AA" w:rsidRDefault="4DE5D8AA" w:rsidP="4DE5D8AA">
      <w:pPr>
        <w:rPr>
          <w:rFonts w:ascii="Tahoma" w:hAnsi="Tahoma" w:cs="Tahoma"/>
          <w:sz w:val="24"/>
          <w:szCs w:val="24"/>
        </w:rPr>
      </w:pPr>
    </w:p>
    <w:p w14:paraId="61260EB8" w14:textId="12232C0B" w:rsidR="7B0D648A" w:rsidRDefault="7B0D648A" w:rsidP="55B8D798">
      <w:pPr>
        <w:spacing w:line="360" w:lineRule="auto"/>
        <w:rPr>
          <w:rFonts w:ascii="Tahoma" w:eastAsia="Tahoma" w:hAnsi="Tahoma" w:cs="Tahoma"/>
          <w:sz w:val="24"/>
          <w:szCs w:val="24"/>
        </w:rPr>
      </w:pPr>
      <w:r w:rsidRPr="55B8D798">
        <w:rPr>
          <w:rFonts w:ascii="Tahoma" w:eastAsia="Tahoma" w:hAnsi="Tahoma" w:cs="Tahoma"/>
          <w:sz w:val="24"/>
          <w:szCs w:val="24"/>
        </w:rPr>
        <w:t>Submitte</w:t>
      </w:r>
      <w:r w:rsidR="796A9E04" w:rsidRPr="55B8D798">
        <w:rPr>
          <w:rFonts w:ascii="Tahoma" w:eastAsia="Tahoma" w:hAnsi="Tahoma" w:cs="Tahoma"/>
          <w:sz w:val="24"/>
          <w:szCs w:val="24"/>
        </w:rPr>
        <w:t>d</w:t>
      </w:r>
      <w:r w:rsidRPr="55B8D798">
        <w:rPr>
          <w:rFonts w:ascii="Tahoma" w:eastAsia="Tahoma" w:hAnsi="Tahoma" w:cs="Tahoma"/>
          <w:sz w:val="24"/>
          <w:szCs w:val="24"/>
        </w:rPr>
        <w:t xml:space="preserve"> by:</w:t>
      </w:r>
    </w:p>
    <w:p w14:paraId="20053743" w14:textId="2FF963FC" w:rsidR="7B0D648A" w:rsidRDefault="7B0D648A" w:rsidP="55B8D798">
      <w:pPr>
        <w:spacing w:line="360" w:lineRule="auto"/>
        <w:rPr>
          <w:rFonts w:ascii="Tahoma" w:eastAsia="Tahoma" w:hAnsi="Tahoma" w:cs="Tahoma"/>
          <w:sz w:val="24"/>
          <w:szCs w:val="24"/>
        </w:rPr>
      </w:pPr>
      <w:r w:rsidRPr="55B8D798">
        <w:rPr>
          <w:rFonts w:ascii="Tahoma" w:eastAsia="Tahoma" w:hAnsi="Tahoma" w:cs="Tahoma"/>
          <w:sz w:val="24"/>
          <w:szCs w:val="24"/>
        </w:rPr>
        <w:t>Marie Allen, President, Southwestern CT Agency on Aging</w:t>
      </w:r>
    </w:p>
    <w:p w14:paraId="57FEABE0" w14:textId="0524A141" w:rsidR="7B0D648A" w:rsidRDefault="7B0D648A" w:rsidP="55B8D798">
      <w:pPr>
        <w:spacing w:line="360" w:lineRule="auto"/>
        <w:rPr>
          <w:rFonts w:ascii="Tahoma" w:eastAsia="Tahoma" w:hAnsi="Tahoma" w:cs="Tahoma"/>
          <w:sz w:val="24"/>
          <w:szCs w:val="24"/>
        </w:rPr>
      </w:pPr>
      <w:r w:rsidRPr="4DE5D8AA">
        <w:rPr>
          <w:rFonts w:ascii="Tahoma" w:eastAsia="Tahoma" w:hAnsi="Tahoma" w:cs="Tahoma"/>
          <w:sz w:val="24"/>
          <w:szCs w:val="24"/>
        </w:rPr>
        <w:t>On behalf of AgingCT</w:t>
      </w:r>
    </w:p>
    <w:p w14:paraId="49FE5D57" w14:textId="673BA030" w:rsidR="297EEDF6" w:rsidRDefault="297EEDF6" w:rsidP="4DE5D8AA">
      <w:pPr>
        <w:pStyle w:val="ListParagraph"/>
        <w:numPr>
          <w:ilvl w:val="0"/>
          <w:numId w:val="1"/>
        </w:numPr>
        <w:spacing w:line="360" w:lineRule="auto"/>
        <w:rPr>
          <w:rFonts w:ascii="Tahoma" w:eastAsia="Tahoma" w:hAnsi="Tahoma" w:cs="Tahoma"/>
          <w:sz w:val="12"/>
          <w:szCs w:val="12"/>
        </w:rPr>
      </w:pPr>
      <w:r w:rsidRPr="4DE5D8AA">
        <w:rPr>
          <w:rFonts w:ascii="Tahoma" w:eastAsia="Tahoma" w:hAnsi="Tahoma" w:cs="Tahoma"/>
          <w:sz w:val="12"/>
          <w:szCs w:val="12"/>
        </w:rPr>
        <w:t xml:space="preserve"> https://ltsschoices.aarp.org/resources-and-practices/presumptive-eligibility-medicaid-home-and-community-based-services-can</w:t>
      </w:r>
    </w:p>
    <w:p w14:paraId="03C4E56B" w14:textId="798CB2F0" w:rsidR="4DE5D8AA" w:rsidRDefault="4DE5D8AA" w:rsidP="4DE5D8AA">
      <w:pPr>
        <w:spacing w:line="360" w:lineRule="auto"/>
        <w:rPr>
          <w:rFonts w:ascii="Tahoma" w:eastAsia="Tahoma" w:hAnsi="Tahoma" w:cs="Tahoma"/>
          <w:sz w:val="24"/>
          <w:szCs w:val="24"/>
        </w:rPr>
      </w:pPr>
    </w:p>
    <w:sectPr w:rsidR="4DE5D8AA">
      <w:headerReference w:type="default" r:id="rId11"/>
      <w:headerReference w:type="first" r:id="rId12"/>
      <w:footerReference w:type="first" r:id="rId13"/>
      <w:pgSz w:w="12240" w:h="15840"/>
      <w:pgMar w:top="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BBA3" w14:textId="77777777" w:rsidR="00167807" w:rsidRDefault="00167807">
      <w:pPr>
        <w:spacing w:line="240" w:lineRule="auto"/>
      </w:pPr>
      <w:r>
        <w:separator/>
      </w:r>
    </w:p>
  </w:endnote>
  <w:endnote w:type="continuationSeparator" w:id="0">
    <w:p w14:paraId="44AFAEED" w14:textId="77777777" w:rsidR="00167807" w:rsidRDefault="00167807">
      <w:pPr>
        <w:spacing w:line="240" w:lineRule="auto"/>
      </w:pPr>
      <w:r>
        <w:continuationSeparator/>
      </w:r>
    </w:p>
  </w:endnote>
  <w:endnote w:type="continuationNotice" w:id="1">
    <w:p w14:paraId="60FA73B8" w14:textId="77777777" w:rsidR="00C43BEA" w:rsidRDefault="00C43B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284087"/>
      <w:docPartObj>
        <w:docPartGallery w:val="Page Numbers (Bottom of Page)"/>
        <w:docPartUnique/>
      </w:docPartObj>
    </w:sdtPr>
    <w:sdtEndPr>
      <w:rPr>
        <w:noProof/>
      </w:rPr>
    </w:sdtEndPr>
    <w:sdtContent>
      <w:p w14:paraId="04B40933" w14:textId="4B24AE27" w:rsidR="005E5ADA" w:rsidRDefault="005E5A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01B516" w14:textId="77777777" w:rsidR="00C30A69" w:rsidRDefault="00C30A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6DCD8" w14:textId="77777777" w:rsidR="00167807" w:rsidRDefault="00167807">
      <w:pPr>
        <w:spacing w:line="240" w:lineRule="auto"/>
      </w:pPr>
      <w:r>
        <w:separator/>
      </w:r>
    </w:p>
  </w:footnote>
  <w:footnote w:type="continuationSeparator" w:id="0">
    <w:p w14:paraId="53F16C6C" w14:textId="77777777" w:rsidR="00167807" w:rsidRDefault="00167807">
      <w:pPr>
        <w:spacing w:line="240" w:lineRule="auto"/>
      </w:pPr>
      <w:r>
        <w:continuationSeparator/>
      </w:r>
    </w:p>
  </w:footnote>
  <w:footnote w:type="continuationNotice" w:id="1">
    <w:p w14:paraId="5FE1C15D" w14:textId="77777777" w:rsidR="00C43BEA" w:rsidRDefault="00C43BE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FC06" w14:textId="77777777" w:rsidR="00C30A69" w:rsidRDefault="00FB51DD">
    <w:r>
      <w:rPr>
        <w:noProof/>
      </w:rPr>
      <w:drawing>
        <wp:anchor distT="114300" distB="114300" distL="114300" distR="114300" simplePos="0" relativeHeight="251658240" behindDoc="0" locked="0" layoutInCell="1" hidden="0" allowOverlap="1" wp14:anchorId="47164663" wp14:editId="3C972EBD">
          <wp:simplePos x="0" y="0"/>
          <wp:positionH relativeFrom="page">
            <wp:posOffset>0</wp:posOffset>
          </wp:positionH>
          <wp:positionV relativeFrom="page">
            <wp:posOffset>9525</wp:posOffset>
          </wp:positionV>
          <wp:extent cx="7772400" cy="9715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30" t="10822" r="230" b="45021"/>
                  <a:stretch>
                    <a:fillRect/>
                  </a:stretch>
                </pic:blipFill>
                <pic:spPr>
                  <a:xfrm>
                    <a:off x="0" y="0"/>
                    <a:ext cx="7772400" cy="9715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B811" w14:textId="77777777" w:rsidR="00C30A69" w:rsidRDefault="00FB51DD">
    <w:r>
      <w:rPr>
        <w:noProof/>
      </w:rPr>
      <w:drawing>
        <wp:anchor distT="114300" distB="114300" distL="114300" distR="114300" simplePos="0" relativeHeight="251658241" behindDoc="0" locked="0" layoutInCell="1" hidden="0" allowOverlap="1" wp14:anchorId="0EE8DC49" wp14:editId="165784E9">
          <wp:simplePos x="0" y="0"/>
          <wp:positionH relativeFrom="page">
            <wp:posOffset>0</wp:posOffset>
          </wp:positionH>
          <wp:positionV relativeFrom="page">
            <wp:posOffset>-9524</wp:posOffset>
          </wp:positionV>
          <wp:extent cx="7772400" cy="147637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30" t="10389" r="230" b="22510"/>
                  <a:stretch>
                    <a:fillRect/>
                  </a:stretch>
                </pic:blipFill>
                <pic:spPr>
                  <a:xfrm>
                    <a:off x="0" y="0"/>
                    <a:ext cx="7772400" cy="14763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0B498"/>
    <w:multiLevelType w:val="hybridMultilevel"/>
    <w:tmpl w:val="5EE27C5A"/>
    <w:lvl w:ilvl="0" w:tplc="199487B2">
      <w:start w:val="1"/>
      <w:numFmt w:val="decimal"/>
      <w:lvlText w:val="%1."/>
      <w:lvlJc w:val="left"/>
      <w:pPr>
        <w:ind w:left="720" w:hanging="360"/>
      </w:pPr>
    </w:lvl>
    <w:lvl w:ilvl="1" w:tplc="37B2FB58">
      <w:start w:val="1"/>
      <w:numFmt w:val="lowerLetter"/>
      <w:lvlText w:val="%2."/>
      <w:lvlJc w:val="left"/>
      <w:pPr>
        <w:ind w:left="1440" w:hanging="360"/>
      </w:pPr>
    </w:lvl>
    <w:lvl w:ilvl="2" w:tplc="FCEA5BEE">
      <w:start w:val="1"/>
      <w:numFmt w:val="lowerRoman"/>
      <w:lvlText w:val="%3."/>
      <w:lvlJc w:val="right"/>
      <w:pPr>
        <w:ind w:left="2160" w:hanging="180"/>
      </w:pPr>
    </w:lvl>
    <w:lvl w:ilvl="3" w:tplc="3132A9FA">
      <w:start w:val="1"/>
      <w:numFmt w:val="decimal"/>
      <w:lvlText w:val="%4."/>
      <w:lvlJc w:val="left"/>
      <w:pPr>
        <w:ind w:left="2880" w:hanging="360"/>
      </w:pPr>
    </w:lvl>
    <w:lvl w:ilvl="4" w:tplc="53ECFB62">
      <w:start w:val="1"/>
      <w:numFmt w:val="lowerLetter"/>
      <w:lvlText w:val="%5."/>
      <w:lvlJc w:val="left"/>
      <w:pPr>
        <w:ind w:left="3600" w:hanging="360"/>
      </w:pPr>
    </w:lvl>
    <w:lvl w:ilvl="5" w:tplc="AA7A75C2">
      <w:start w:val="1"/>
      <w:numFmt w:val="lowerRoman"/>
      <w:lvlText w:val="%6."/>
      <w:lvlJc w:val="right"/>
      <w:pPr>
        <w:ind w:left="4320" w:hanging="180"/>
      </w:pPr>
    </w:lvl>
    <w:lvl w:ilvl="6" w:tplc="1E82C3FE">
      <w:start w:val="1"/>
      <w:numFmt w:val="decimal"/>
      <w:lvlText w:val="%7."/>
      <w:lvlJc w:val="left"/>
      <w:pPr>
        <w:ind w:left="5040" w:hanging="360"/>
      </w:pPr>
    </w:lvl>
    <w:lvl w:ilvl="7" w:tplc="788299B0">
      <w:start w:val="1"/>
      <w:numFmt w:val="lowerLetter"/>
      <w:lvlText w:val="%8."/>
      <w:lvlJc w:val="left"/>
      <w:pPr>
        <w:ind w:left="5760" w:hanging="360"/>
      </w:pPr>
    </w:lvl>
    <w:lvl w:ilvl="8" w:tplc="6056258A">
      <w:start w:val="1"/>
      <w:numFmt w:val="lowerRoman"/>
      <w:lvlText w:val="%9."/>
      <w:lvlJc w:val="right"/>
      <w:pPr>
        <w:ind w:left="6480" w:hanging="180"/>
      </w:pPr>
    </w:lvl>
  </w:abstractNum>
  <w:abstractNum w:abstractNumId="1" w15:restartNumberingAfterBreak="0">
    <w:nsid w:val="7118EF33"/>
    <w:multiLevelType w:val="hybridMultilevel"/>
    <w:tmpl w:val="293A137A"/>
    <w:lvl w:ilvl="0" w:tplc="A17EE96E">
      <w:start w:val="1"/>
      <w:numFmt w:val="bullet"/>
      <w:lvlText w:val=""/>
      <w:lvlJc w:val="left"/>
      <w:pPr>
        <w:ind w:left="720" w:hanging="360"/>
      </w:pPr>
      <w:rPr>
        <w:rFonts w:ascii="Symbol" w:hAnsi="Symbol" w:hint="default"/>
      </w:rPr>
    </w:lvl>
    <w:lvl w:ilvl="1" w:tplc="AFE0A0DE">
      <w:start w:val="1"/>
      <w:numFmt w:val="bullet"/>
      <w:lvlText w:val="o"/>
      <w:lvlJc w:val="left"/>
      <w:pPr>
        <w:ind w:left="1440" w:hanging="360"/>
      </w:pPr>
      <w:rPr>
        <w:rFonts w:ascii="Courier New" w:hAnsi="Courier New" w:hint="default"/>
      </w:rPr>
    </w:lvl>
    <w:lvl w:ilvl="2" w:tplc="FDAC65AC">
      <w:start w:val="1"/>
      <w:numFmt w:val="bullet"/>
      <w:lvlText w:val=""/>
      <w:lvlJc w:val="left"/>
      <w:pPr>
        <w:ind w:left="2160" w:hanging="360"/>
      </w:pPr>
      <w:rPr>
        <w:rFonts w:ascii="Wingdings" w:hAnsi="Wingdings" w:hint="default"/>
      </w:rPr>
    </w:lvl>
    <w:lvl w:ilvl="3" w:tplc="119ABD9E">
      <w:start w:val="1"/>
      <w:numFmt w:val="bullet"/>
      <w:lvlText w:val=""/>
      <w:lvlJc w:val="left"/>
      <w:pPr>
        <w:ind w:left="2880" w:hanging="360"/>
      </w:pPr>
      <w:rPr>
        <w:rFonts w:ascii="Symbol" w:hAnsi="Symbol" w:hint="default"/>
      </w:rPr>
    </w:lvl>
    <w:lvl w:ilvl="4" w:tplc="05F6FE88">
      <w:start w:val="1"/>
      <w:numFmt w:val="bullet"/>
      <w:lvlText w:val="o"/>
      <w:lvlJc w:val="left"/>
      <w:pPr>
        <w:ind w:left="3600" w:hanging="360"/>
      </w:pPr>
      <w:rPr>
        <w:rFonts w:ascii="Courier New" w:hAnsi="Courier New" w:hint="default"/>
      </w:rPr>
    </w:lvl>
    <w:lvl w:ilvl="5" w:tplc="4ED6FF1E">
      <w:start w:val="1"/>
      <w:numFmt w:val="bullet"/>
      <w:lvlText w:val=""/>
      <w:lvlJc w:val="left"/>
      <w:pPr>
        <w:ind w:left="4320" w:hanging="360"/>
      </w:pPr>
      <w:rPr>
        <w:rFonts w:ascii="Wingdings" w:hAnsi="Wingdings" w:hint="default"/>
      </w:rPr>
    </w:lvl>
    <w:lvl w:ilvl="6" w:tplc="C9427AEE">
      <w:start w:val="1"/>
      <w:numFmt w:val="bullet"/>
      <w:lvlText w:val=""/>
      <w:lvlJc w:val="left"/>
      <w:pPr>
        <w:ind w:left="5040" w:hanging="360"/>
      </w:pPr>
      <w:rPr>
        <w:rFonts w:ascii="Symbol" w:hAnsi="Symbol" w:hint="default"/>
      </w:rPr>
    </w:lvl>
    <w:lvl w:ilvl="7" w:tplc="78FE04DA">
      <w:start w:val="1"/>
      <w:numFmt w:val="bullet"/>
      <w:lvlText w:val="o"/>
      <w:lvlJc w:val="left"/>
      <w:pPr>
        <w:ind w:left="5760" w:hanging="360"/>
      </w:pPr>
      <w:rPr>
        <w:rFonts w:ascii="Courier New" w:hAnsi="Courier New" w:hint="default"/>
      </w:rPr>
    </w:lvl>
    <w:lvl w:ilvl="8" w:tplc="7D8847EA">
      <w:start w:val="1"/>
      <w:numFmt w:val="bullet"/>
      <w:lvlText w:val=""/>
      <w:lvlJc w:val="left"/>
      <w:pPr>
        <w:ind w:left="6480" w:hanging="360"/>
      </w:pPr>
      <w:rPr>
        <w:rFonts w:ascii="Wingdings" w:hAnsi="Wingdings" w:hint="default"/>
      </w:rPr>
    </w:lvl>
  </w:abstractNum>
  <w:abstractNum w:abstractNumId="2" w15:restartNumberingAfterBreak="0">
    <w:nsid w:val="713718AB"/>
    <w:multiLevelType w:val="multilevel"/>
    <w:tmpl w:val="2EF492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D97586"/>
    <w:multiLevelType w:val="hybridMultilevel"/>
    <w:tmpl w:val="B9D49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9301676">
    <w:abstractNumId w:val="0"/>
  </w:num>
  <w:num w:numId="2" w16cid:durableId="2124886022">
    <w:abstractNumId w:val="1"/>
  </w:num>
  <w:num w:numId="3" w16cid:durableId="1884832307">
    <w:abstractNumId w:val="3"/>
  </w:num>
  <w:num w:numId="4" w16cid:durableId="135612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69"/>
    <w:rsid w:val="0007520F"/>
    <w:rsid w:val="00095E5D"/>
    <w:rsid w:val="00151F3E"/>
    <w:rsid w:val="00167807"/>
    <w:rsid w:val="001B3BAF"/>
    <w:rsid w:val="001D1923"/>
    <w:rsid w:val="001E7027"/>
    <w:rsid w:val="001F3C7E"/>
    <w:rsid w:val="00221E3E"/>
    <w:rsid w:val="002857F9"/>
    <w:rsid w:val="002C6F5C"/>
    <w:rsid w:val="0030305C"/>
    <w:rsid w:val="0030315B"/>
    <w:rsid w:val="003277D3"/>
    <w:rsid w:val="003440DC"/>
    <w:rsid w:val="003469CF"/>
    <w:rsid w:val="00386FC5"/>
    <w:rsid w:val="0042756D"/>
    <w:rsid w:val="004B2FFA"/>
    <w:rsid w:val="004C6A7C"/>
    <w:rsid w:val="004D4B58"/>
    <w:rsid w:val="004E6831"/>
    <w:rsid w:val="00521958"/>
    <w:rsid w:val="00537F29"/>
    <w:rsid w:val="00541AE6"/>
    <w:rsid w:val="00545766"/>
    <w:rsid w:val="00586161"/>
    <w:rsid w:val="005D1738"/>
    <w:rsid w:val="005E5ADA"/>
    <w:rsid w:val="005F31D2"/>
    <w:rsid w:val="00631C1C"/>
    <w:rsid w:val="00652405"/>
    <w:rsid w:val="006C01F4"/>
    <w:rsid w:val="00701059"/>
    <w:rsid w:val="0070333D"/>
    <w:rsid w:val="00742910"/>
    <w:rsid w:val="00754C49"/>
    <w:rsid w:val="00754F89"/>
    <w:rsid w:val="00783A87"/>
    <w:rsid w:val="007A3974"/>
    <w:rsid w:val="007C0514"/>
    <w:rsid w:val="007C51BE"/>
    <w:rsid w:val="008278E5"/>
    <w:rsid w:val="00837EDF"/>
    <w:rsid w:val="008565D8"/>
    <w:rsid w:val="0086533B"/>
    <w:rsid w:val="0088142E"/>
    <w:rsid w:val="008A04DA"/>
    <w:rsid w:val="008A0A10"/>
    <w:rsid w:val="008C2F75"/>
    <w:rsid w:val="00907E8C"/>
    <w:rsid w:val="00922ABA"/>
    <w:rsid w:val="009901DF"/>
    <w:rsid w:val="00991E81"/>
    <w:rsid w:val="00991F01"/>
    <w:rsid w:val="009B3117"/>
    <w:rsid w:val="00A075D6"/>
    <w:rsid w:val="00A34BD2"/>
    <w:rsid w:val="00A4412A"/>
    <w:rsid w:val="00A663A9"/>
    <w:rsid w:val="00A7710D"/>
    <w:rsid w:val="00B141CA"/>
    <w:rsid w:val="00B23E23"/>
    <w:rsid w:val="00B47485"/>
    <w:rsid w:val="00B51D94"/>
    <w:rsid w:val="00B828DE"/>
    <w:rsid w:val="00BA5F99"/>
    <w:rsid w:val="00BB1F83"/>
    <w:rsid w:val="00C00653"/>
    <w:rsid w:val="00C30A69"/>
    <w:rsid w:val="00C43BEA"/>
    <w:rsid w:val="00C71D37"/>
    <w:rsid w:val="00C95690"/>
    <w:rsid w:val="00CC131B"/>
    <w:rsid w:val="00CD7CD1"/>
    <w:rsid w:val="00D041F8"/>
    <w:rsid w:val="00D33EB9"/>
    <w:rsid w:val="00D473FC"/>
    <w:rsid w:val="00DC0ACE"/>
    <w:rsid w:val="00E067B0"/>
    <w:rsid w:val="00E33101"/>
    <w:rsid w:val="00E9178D"/>
    <w:rsid w:val="00E95740"/>
    <w:rsid w:val="00ED0B95"/>
    <w:rsid w:val="00EF4C6B"/>
    <w:rsid w:val="00EF4E49"/>
    <w:rsid w:val="00F352A1"/>
    <w:rsid w:val="00F63BAE"/>
    <w:rsid w:val="00FA3CF5"/>
    <w:rsid w:val="00FB51DD"/>
    <w:rsid w:val="022B469F"/>
    <w:rsid w:val="06A7F040"/>
    <w:rsid w:val="06E06629"/>
    <w:rsid w:val="06F8C319"/>
    <w:rsid w:val="080E3389"/>
    <w:rsid w:val="089C709C"/>
    <w:rsid w:val="09432D09"/>
    <w:rsid w:val="095C5566"/>
    <w:rsid w:val="0A90C6F0"/>
    <w:rsid w:val="0B10F31A"/>
    <w:rsid w:val="0BD6D85B"/>
    <w:rsid w:val="0F030700"/>
    <w:rsid w:val="0F790008"/>
    <w:rsid w:val="0FCB96EA"/>
    <w:rsid w:val="0FFD322A"/>
    <w:rsid w:val="10202C41"/>
    <w:rsid w:val="1065E184"/>
    <w:rsid w:val="1118D4B2"/>
    <w:rsid w:val="114E3EEE"/>
    <w:rsid w:val="1180349E"/>
    <w:rsid w:val="12B367C7"/>
    <w:rsid w:val="12C53D7D"/>
    <w:rsid w:val="14F68572"/>
    <w:rsid w:val="1579A2A3"/>
    <w:rsid w:val="15FCDE3F"/>
    <w:rsid w:val="16FC4AA7"/>
    <w:rsid w:val="18653562"/>
    <w:rsid w:val="1895CC09"/>
    <w:rsid w:val="19347F01"/>
    <w:rsid w:val="19B7ED95"/>
    <w:rsid w:val="1A6B1A69"/>
    <w:rsid w:val="1A9F8580"/>
    <w:rsid w:val="1AD04F62"/>
    <w:rsid w:val="1C3692AB"/>
    <w:rsid w:val="1C6C1FC3"/>
    <w:rsid w:val="1D06AF44"/>
    <w:rsid w:val="1D6B8C2B"/>
    <w:rsid w:val="1F5E090B"/>
    <w:rsid w:val="1F6E336D"/>
    <w:rsid w:val="20BC554A"/>
    <w:rsid w:val="20BF1217"/>
    <w:rsid w:val="219E45EE"/>
    <w:rsid w:val="21B6727F"/>
    <w:rsid w:val="233A164F"/>
    <w:rsid w:val="23DACDAF"/>
    <w:rsid w:val="23F3F60C"/>
    <w:rsid w:val="2461C4EB"/>
    <w:rsid w:val="24D5E6B0"/>
    <w:rsid w:val="25769E10"/>
    <w:rsid w:val="26676D67"/>
    <w:rsid w:val="278DF390"/>
    <w:rsid w:val="286D76C3"/>
    <w:rsid w:val="2872A1C2"/>
    <w:rsid w:val="28896D00"/>
    <w:rsid w:val="28DF0FCE"/>
    <w:rsid w:val="297EEDF6"/>
    <w:rsid w:val="2A253D61"/>
    <w:rsid w:val="2A633790"/>
    <w:rsid w:val="2ABA2235"/>
    <w:rsid w:val="2BA51785"/>
    <w:rsid w:val="2C4DE2A4"/>
    <w:rsid w:val="2D5830F8"/>
    <w:rsid w:val="2D5CDE23"/>
    <w:rsid w:val="2DCAFC09"/>
    <w:rsid w:val="2DDD404C"/>
    <w:rsid w:val="2F64D8FB"/>
    <w:rsid w:val="30B950B7"/>
    <w:rsid w:val="31136EEB"/>
    <w:rsid w:val="31474EA3"/>
    <w:rsid w:val="31B29DCD"/>
    <w:rsid w:val="32B47908"/>
    <w:rsid w:val="32C3E57F"/>
    <w:rsid w:val="336649F3"/>
    <w:rsid w:val="3573C913"/>
    <w:rsid w:val="3584BC4E"/>
    <w:rsid w:val="35AC3C96"/>
    <w:rsid w:val="35BCB575"/>
    <w:rsid w:val="379756A2"/>
    <w:rsid w:val="39332703"/>
    <w:rsid w:val="39C4F48E"/>
    <w:rsid w:val="3B8EA0D8"/>
    <w:rsid w:val="3BFB6BE6"/>
    <w:rsid w:val="3C6AC7C5"/>
    <w:rsid w:val="3C95D5E5"/>
    <w:rsid w:val="3E44D675"/>
    <w:rsid w:val="3EFECB79"/>
    <w:rsid w:val="3FCD76A7"/>
    <w:rsid w:val="40162C3C"/>
    <w:rsid w:val="4069CF0D"/>
    <w:rsid w:val="40F02F5A"/>
    <w:rsid w:val="434DCCFE"/>
    <w:rsid w:val="43625EAD"/>
    <w:rsid w:val="453D4030"/>
    <w:rsid w:val="455B938C"/>
    <w:rsid w:val="45DFEF91"/>
    <w:rsid w:val="46856DC0"/>
    <w:rsid w:val="46F763ED"/>
    <w:rsid w:val="4778993B"/>
    <w:rsid w:val="4C32E201"/>
    <w:rsid w:val="4C4A0849"/>
    <w:rsid w:val="4DA7EC31"/>
    <w:rsid w:val="4DE5D8AA"/>
    <w:rsid w:val="4F0AC6B5"/>
    <w:rsid w:val="4F3EA66D"/>
    <w:rsid w:val="505E21CE"/>
    <w:rsid w:val="51B9F396"/>
    <w:rsid w:val="520063C8"/>
    <w:rsid w:val="527858C4"/>
    <w:rsid w:val="54FFC129"/>
    <w:rsid w:val="55AACE87"/>
    <w:rsid w:val="55B8D798"/>
    <w:rsid w:val="569B918A"/>
    <w:rsid w:val="56F721E1"/>
    <w:rsid w:val="571ECD26"/>
    <w:rsid w:val="577D822E"/>
    <w:rsid w:val="581193FA"/>
    <w:rsid w:val="59446AB1"/>
    <w:rsid w:val="5BA0F85D"/>
    <w:rsid w:val="5C0612AD"/>
    <w:rsid w:val="5CBB9370"/>
    <w:rsid w:val="5D3CA2CA"/>
    <w:rsid w:val="5DBAE270"/>
    <w:rsid w:val="5E1E9DEA"/>
    <w:rsid w:val="5EBCEA26"/>
    <w:rsid w:val="5EF451F3"/>
    <w:rsid w:val="5F388870"/>
    <w:rsid w:val="5F685CE4"/>
    <w:rsid w:val="600479A1"/>
    <w:rsid w:val="604273D0"/>
    <w:rsid w:val="60B923D9"/>
    <w:rsid w:val="619F4DE3"/>
    <w:rsid w:val="62B8DEC7"/>
    <w:rsid w:val="62D72FBA"/>
    <w:rsid w:val="64C74FFB"/>
    <w:rsid w:val="65F07F89"/>
    <w:rsid w:val="6665383D"/>
    <w:rsid w:val="68E7583C"/>
    <w:rsid w:val="695F0766"/>
    <w:rsid w:val="69C9A5EA"/>
    <w:rsid w:val="6A3A2A9C"/>
    <w:rsid w:val="6AF2C7D5"/>
    <w:rsid w:val="6B3455C6"/>
    <w:rsid w:val="6C1EF8FE"/>
    <w:rsid w:val="6C8C2577"/>
    <w:rsid w:val="6F0DF975"/>
    <w:rsid w:val="6F2616D7"/>
    <w:rsid w:val="6F4FA4C2"/>
    <w:rsid w:val="6F9F4F55"/>
    <w:rsid w:val="72751225"/>
    <w:rsid w:val="75738348"/>
    <w:rsid w:val="760E90D9"/>
    <w:rsid w:val="76C5C973"/>
    <w:rsid w:val="779138DD"/>
    <w:rsid w:val="796A9E04"/>
    <w:rsid w:val="7B0D648A"/>
    <w:rsid w:val="7B0D8616"/>
    <w:rsid w:val="7C1BF46B"/>
    <w:rsid w:val="7D8999CE"/>
    <w:rsid w:val="7E9CDE5A"/>
    <w:rsid w:val="7EF3A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A746"/>
  <w15:docId w15:val="{8FDFFDF3-56A5-4E14-B078-70036FCD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E5ADA"/>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ADA"/>
    <w:pPr>
      <w:tabs>
        <w:tab w:val="center" w:pos="4680"/>
        <w:tab w:val="right" w:pos="9360"/>
      </w:tabs>
      <w:spacing w:line="240" w:lineRule="auto"/>
    </w:pPr>
  </w:style>
  <w:style w:type="character" w:customStyle="1" w:styleId="HeaderChar">
    <w:name w:val="Header Char"/>
    <w:basedOn w:val="DefaultParagraphFont"/>
    <w:link w:val="Header"/>
    <w:uiPriority w:val="99"/>
    <w:rsid w:val="005E5ADA"/>
  </w:style>
  <w:style w:type="paragraph" w:styleId="Footer">
    <w:name w:val="footer"/>
    <w:basedOn w:val="Normal"/>
    <w:link w:val="FooterChar"/>
    <w:uiPriority w:val="99"/>
    <w:unhideWhenUsed/>
    <w:rsid w:val="005E5ADA"/>
    <w:pPr>
      <w:tabs>
        <w:tab w:val="center" w:pos="4680"/>
        <w:tab w:val="right" w:pos="9360"/>
      </w:tabs>
      <w:spacing w:line="240" w:lineRule="auto"/>
    </w:pPr>
  </w:style>
  <w:style w:type="character" w:customStyle="1" w:styleId="FooterChar">
    <w:name w:val="Footer Char"/>
    <w:basedOn w:val="DefaultParagraphFont"/>
    <w:link w:val="Footer"/>
    <w:uiPriority w:val="99"/>
    <w:rsid w:val="005E5ADA"/>
  </w:style>
  <w:style w:type="character" w:styleId="Hyperlink">
    <w:name w:val="Hyperlink"/>
    <w:basedOn w:val="DefaultParagraphFont"/>
    <w:uiPriority w:val="99"/>
    <w:semiHidden/>
    <w:unhideWhenUsed/>
    <w:rsid w:val="00537F29"/>
    <w:rPr>
      <w:color w:val="0000FF"/>
      <w:u w:val="single"/>
    </w:rPr>
  </w:style>
  <w:style w:type="character" w:styleId="Strong">
    <w:name w:val="Strong"/>
    <w:basedOn w:val="DefaultParagraphFont"/>
    <w:uiPriority w:val="22"/>
    <w:qFormat/>
    <w:rsid w:val="00652405"/>
    <w:rPr>
      <w:b/>
      <w:bCs/>
    </w:rPr>
  </w:style>
  <w:style w:type="paragraph" w:customStyle="1" w:styleId="Default">
    <w:name w:val="Default"/>
    <w:rsid w:val="00151F3E"/>
    <w:pPr>
      <w:autoSpaceDE w:val="0"/>
      <w:autoSpaceDN w:val="0"/>
      <w:adjustRightInd w:val="0"/>
      <w:spacing w:line="240" w:lineRule="auto"/>
    </w:pPr>
    <w:rPr>
      <w:rFonts w:ascii="Calibri" w:hAnsi="Calibri" w:cs="Calibri"/>
      <w:color w:val="000000"/>
      <w:sz w:val="24"/>
      <w:szCs w:val="24"/>
      <w:lang w:val="en-US"/>
    </w:rPr>
  </w:style>
  <w:style w:type="paragraph" w:styleId="ListParagraph">
    <w:name w:val="List Paragraph"/>
    <w:basedOn w:val="Normal"/>
    <w:uiPriority w:val="34"/>
    <w:qFormat/>
    <w:rsid w:val="003277D3"/>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8292">
      <w:bodyDiv w:val="1"/>
      <w:marLeft w:val="0"/>
      <w:marRight w:val="0"/>
      <w:marTop w:val="0"/>
      <w:marBottom w:val="0"/>
      <w:divBdr>
        <w:top w:val="none" w:sz="0" w:space="0" w:color="auto"/>
        <w:left w:val="none" w:sz="0" w:space="0" w:color="auto"/>
        <w:bottom w:val="none" w:sz="0" w:space="0" w:color="auto"/>
        <w:right w:val="none" w:sz="0" w:space="0" w:color="auto"/>
      </w:divBdr>
    </w:div>
    <w:div w:id="355695160">
      <w:bodyDiv w:val="1"/>
      <w:marLeft w:val="0"/>
      <w:marRight w:val="0"/>
      <w:marTop w:val="0"/>
      <w:marBottom w:val="0"/>
      <w:divBdr>
        <w:top w:val="none" w:sz="0" w:space="0" w:color="auto"/>
        <w:left w:val="none" w:sz="0" w:space="0" w:color="auto"/>
        <w:bottom w:val="none" w:sz="0" w:space="0" w:color="auto"/>
        <w:right w:val="none" w:sz="0" w:space="0" w:color="auto"/>
      </w:divBdr>
    </w:div>
    <w:div w:id="379481843">
      <w:bodyDiv w:val="1"/>
      <w:marLeft w:val="0"/>
      <w:marRight w:val="0"/>
      <w:marTop w:val="0"/>
      <w:marBottom w:val="0"/>
      <w:divBdr>
        <w:top w:val="none" w:sz="0" w:space="0" w:color="auto"/>
        <w:left w:val="none" w:sz="0" w:space="0" w:color="auto"/>
        <w:bottom w:val="none" w:sz="0" w:space="0" w:color="auto"/>
        <w:right w:val="none" w:sz="0" w:space="0" w:color="auto"/>
      </w:divBdr>
    </w:div>
    <w:div w:id="1420247452">
      <w:bodyDiv w:val="1"/>
      <w:marLeft w:val="0"/>
      <w:marRight w:val="0"/>
      <w:marTop w:val="0"/>
      <w:marBottom w:val="0"/>
      <w:divBdr>
        <w:top w:val="none" w:sz="0" w:space="0" w:color="auto"/>
        <w:left w:val="none" w:sz="0" w:space="0" w:color="auto"/>
        <w:bottom w:val="none" w:sz="0" w:space="0" w:color="auto"/>
        <w:right w:val="none" w:sz="0" w:space="0" w:color="auto"/>
      </w:divBdr>
    </w:div>
    <w:div w:id="188934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gingc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D215F5A632B4FA9B452C638110D9D" ma:contentTypeVersion="12" ma:contentTypeDescription="Create a new document." ma:contentTypeScope="" ma:versionID="4f07b104c476e03b6f5bfac37c6da109">
  <xsd:schema xmlns:xsd="http://www.w3.org/2001/XMLSchema" xmlns:xs="http://www.w3.org/2001/XMLSchema" xmlns:p="http://schemas.microsoft.com/office/2006/metadata/properties" xmlns:ns2="802338dc-02c2-4e6e-8230-9e4fb42ce383" xmlns:ns3="d169b6c5-98a4-414e-88cc-cb967ca46944" targetNamespace="http://schemas.microsoft.com/office/2006/metadata/properties" ma:root="true" ma:fieldsID="e87b082a8d5d5d59a4ee6cff28db1d51" ns2:_="" ns3:_="">
    <xsd:import namespace="802338dc-02c2-4e6e-8230-9e4fb42ce383"/>
    <xsd:import namespace="d169b6c5-98a4-414e-88cc-cb967ca469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338dc-02c2-4e6e-8230-9e4fb42ce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1cef858-724f-4208-b815-ca5b52c2048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69b6c5-98a4-414e-88cc-cb967ca4694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ff5c6b4-c5c1-406a-a9c7-9d2749801831}" ma:internalName="TaxCatchAll" ma:showField="CatchAllData" ma:web="d169b6c5-98a4-414e-88cc-cb967ca4694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2338dc-02c2-4e6e-8230-9e4fb42ce383">
      <Terms xmlns="http://schemas.microsoft.com/office/infopath/2007/PartnerControls"/>
    </lcf76f155ced4ddcb4097134ff3c332f>
    <TaxCatchAll xmlns="d169b6c5-98a4-414e-88cc-cb967ca46944" xsi:nil="true"/>
    <SharedWithUsers xmlns="d169b6c5-98a4-414e-88cc-cb967ca46944">
      <UserInfo>
        <DisplayName>Marie Allen</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442AA6-D4CE-409E-900C-8E6B4D1AF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338dc-02c2-4e6e-8230-9e4fb42ce383"/>
    <ds:schemaRef ds:uri="d169b6c5-98a4-414e-88cc-cb967ca4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FBBED-4423-4CF2-85B7-163DCE978E66}">
  <ds:schemaRefs>
    <ds:schemaRef ds:uri="http://schemas.microsoft.com/office/2006/metadata/properties"/>
    <ds:schemaRef ds:uri="http://schemas.microsoft.com/office/infopath/2007/PartnerControls"/>
    <ds:schemaRef ds:uri="802338dc-02c2-4e6e-8230-9e4fb42ce383"/>
    <ds:schemaRef ds:uri="d169b6c5-98a4-414e-88cc-cb967ca46944"/>
  </ds:schemaRefs>
</ds:datastoreItem>
</file>

<file path=customXml/itemProps3.xml><?xml version="1.0" encoding="utf-8"?>
<ds:datastoreItem xmlns:ds="http://schemas.openxmlformats.org/officeDocument/2006/customXml" ds:itemID="{1B51A163-368B-4518-8E2E-2360B14D34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Allen</dc:creator>
  <cp:lastModifiedBy>Marie Allen</cp:lastModifiedBy>
  <cp:revision>68</cp:revision>
  <dcterms:created xsi:type="dcterms:W3CDTF">2024-02-21T16:50:00Z</dcterms:created>
  <dcterms:modified xsi:type="dcterms:W3CDTF">2024-03-04T16:59:00Z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0x010100E64D215F5A632B4FA9B452C638110D9D</vt:lpwstr>
  </property>
  <property fmtid="{D5CDD505-2E9C-101B-9397-08002B2CF9AE}" pid="3" name="Order">
    <vt:r8>335800</vt:r8>
  </property>
  <property fmtid="{D5CDD505-2E9C-101B-9397-08002B2CF9AE}" pid="4" name="MediaServiceImageTags">
    <vt:lpwstr/>
  </property>
</Properties>
</file>